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74" w:rsidRDefault="00AD01A6" w:rsidP="003D1D74">
      <w:pPr>
        <w:pStyle w:val="Heading1"/>
      </w:pPr>
      <w:r>
        <w:rPr>
          <w:noProof/>
        </w:rPr>
        <w:drawing>
          <wp:inline distT="0" distB="0" distL="0" distR="0">
            <wp:extent cx="1821180" cy="853440"/>
            <wp:effectExtent l="19050" t="0" r="7620" b="0"/>
            <wp:docPr id="1" name="Picture 1" descr="Alta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Seeds"/>
                    <pic:cNvPicPr>
                      <a:picLocks noChangeAspect="1" noChangeArrowheads="1"/>
                    </pic:cNvPicPr>
                  </pic:nvPicPr>
                  <pic:blipFill>
                    <a:blip r:embed="rId6" cstate="print"/>
                    <a:srcRect/>
                    <a:stretch>
                      <a:fillRect/>
                    </a:stretch>
                  </pic:blipFill>
                  <pic:spPr bwMode="auto">
                    <a:xfrm>
                      <a:off x="0" y="0"/>
                      <a:ext cx="1821180" cy="853440"/>
                    </a:xfrm>
                    <a:prstGeom prst="rect">
                      <a:avLst/>
                    </a:prstGeom>
                    <a:noFill/>
                    <a:ln w="9525">
                      <a:noFill/>
                      <a:miter lim="800000"/>
                      <a:headEnd/>
                      <a:tailEnd/>
                    </a:ln>
                  </pic:spPr>
                </pic:pic>
              </a:graphicData>
            </a:graphic>
          </wp:inline>
        </w:drawing>
      </w:r>
    </w:p>
    <w:p w:rsidR="004D1BBC" w:rsidRDefault="004D1BBC" w:rsidP="004D1BBC">
      <w:pPr>
        <w:rPr>
          <w:b/>
          <w:sz w:val="22"/>
          <w:szCs w:val="22"/>
        </w:rPr>
      </w:pPr>
    </w:p>
    <w:p w:rsidR="004D1BBC" w:rsidRPr="00314A87" w:rsidRDefault="004D1BBC" w:rsidP="004D1BBC">
      <w:pPr>
        <w:rPr>
          <w:bCs/>
          <w:color w:val="000000"/>
          <w:sz w:val="20"/>
        </w:rPr>
      </w:pPr>
      <w:r>
        <w:rPr>
          <w:b/>
          <w:sz w:val="22"/>
          <w:szCs w:val="22"/>
        </w:rPr>
        <w:t>FOR IMMEDIATE RELEASE</w:t>
      </w:r>
      <w:r w:rsidRPr="00FE6641">
        <w:rPr>
          <w:b/>
          <w:bCs/>
          <w:color w:val="000000"/>
          <w:sz w:val="22"/>
          <w:szCs w:val="22"/>
        </w:rPr>
        <w:t xml:space="preserve"> </w:t>
      </w:r>
      <w:r>
        <w:rPr>
          <w:b/>
          <w:bCs/>
          <w:color w:val="000000"/>
          <w:sz w:val="22"/>
          <w:szCs w:val="22"/>
        </w:rPr>
        <w:tab/>
      </w:r>
      <w:r>
        <w:rPr>
          <w:b/>
          <w:sz w:val="22"/>
          <w:szCs w:val="22"/>
        </w:rPr>
        <w:t xml:space="preserve">CONTACT: </w:t>
      </w:r>
      <w:r w:rsidR="00E00E4D">
        <w:rPr>
          <w:bCs/>
          <w:color w:val="000000"/>
          <w:sz w:val="20"/>
        </w:rPr>
        <w:t>Barry Lubbers, Alta Seeds – (806</w:t>
      </w:r>
      <w:r>
        <w:rPr>
          <w:bCs/>
          <w:color w:val="000000"/>
          <w:sz w:val="20"/>
        </w:rPr>
        <w:t xml:space="preserve">) </w:t>
      </w:r>
      <w:r w:rsidR="00E00E4D">
        <w:rPr>
          <w:bCs/>
          <w:color w:val="000000"/>
          <w:sz w:val="20"/>
        </w:rPr>
        <w:t>622-9010</w:t>
      </w:r>
    </w:p>
    <w:p w:rsidR="004D1BBC" w:rsidRPr="004D1BBC" w:rsidRDefault="00630FB4" w:rsidP="004D1BBC">
      <w:pPr>
        <w:rPr>
          <w:bCs/>
          <w:color w:val="000000"/>
          <w:sz w:val="20"/>
        </w:rPr>
      </w:pPr>
      <w:r>
        <w:rPr>
          <w:sz w:val="22"/>
          <w:szCs w:val="22"/>
        </w:rPr>
        <w:t>September 2</w:t>
      </w:r>
      <w:r w:rsidR="00760E9B">
        <w:rPr>
          <w:sz w:val="22"/>
          <w:szCs w:val="22"/>
        </w:rPr>
        <w:t>7</w:t>
      </w:r>
      <w:r w:rsidR="004D1BBC">
        <w:rPr>
          <w:sz w:val="22"/>
          <w:szCs w:val="22"/>
        </w:rPr>
        <w:t>,</w:t>
      </w:r>
      <w:r w:rsidR="004D1BBC" w:rsidRPr="00FE6641">
        <w:rPr>
          <w:sz w:val="22"/>
          <w:szCs w:val="22"/>
        </w:rPr>
        <w:t xml:space="preserve"> 201</w:t>
      </w:r>
      <w:r w:rsidR="004D1BBC">
        <w:rPr>
          <w:sz w:val="22"/>
          <w:szCs w:val="22"/>
        </w:rPr>
        <w:t>2</w:t>
      </w:r>
      <w:r w:rsidR="004D1BBC">
        <w:rPr>
          <w:b/>
          <w:bCs/>
          <w:color w:val="000000"/>
          <w:sz w:val="22"/>
          <w:szCs w:val="22"/>
        </w:rPr>
        <w:tab/>
      </w:r>
      <w:r w:rsidR="004D1BBC" w:rsidRPr="00FE6641">
        <w:rPr>
          <w:b/>
          <w:bCs/>
          <w:color w:val="000000"/>
          <w:sz w:val="22"/>
          <w:szCs w:val="22"/>
        </w:rPr>
        <w:tab/>
      </w:r>
      <w:r w:rsidR="004D1BBC" w:rsidRPr="00FE6641">
        <w:rPr>
          <w:b/>
          <w:bCs/>
          <w:color w:val="000000"/>
          <w:sz w:val="22"/>
          <w:szCs w:val="22"/>
        </w:rPr>
        <w:tab/>
      </w:r>
      <w:r w:rsidR="004D1BBC" w:rsidRPr="00FE6641">
        <w:rPr>
          <w:b/>
          <w:bCs/>
          <w:color w:val="000000"/>
          <w:sz w:val="22"/>
          <w:szCs w:val="22"/>
        </w:rPr>
        <w:tab/>
      </w:r>
      <w:r w:rsidR="004D1BBC">
        <w:rPr>
          <w:b/>
          <w:bCs/>
          <w:color w:val="000000"/>
          <w:sz w:val="22"/>
          <w:szCs w:val="22"/>
        </w:rPr>
        <w:t xml:space="preserve">         </w:t>
      </w:r>
      <w:r w:rsidR="004D1BBC">
        <w:rPr>
          <w:bCs/>
          <w:color w:val="000000"/>
          <w:sz w:val="20"/>
        </w:rPr>
        <w:t>Adam Buckallew, Duff Dynamic Marketing – (816) 891-8845</w:t>
      </w:r>
    </w:p>
    <w:p w:rsidR="003D1D74" w:rsidRDefault="003D1D74" w:rsidP="003D1D74">
      <w:pPr>
        <w:ind w:left="5040"/>
        <w:rPr>
          <w:rFonts w:ascii="Garamond" w:hAnsi="Garamond"/>
        </w:rPr>
      </w:pPr>
    </w:p>
    <w:p w:rsidR="0093223A" w:rsidRDefault="00471795" w:rsidP="00471795">
      <w:pPr>
        <w:rPr>
          <w:b/>
          <w:sz w:val="32"/>
          <w:szCs w:val="32"/>
        </w:rPr>
      </w:pPr>
      <w:r w:rsidRPr="00471795">
        <w:rPr>
          <w:b/>
          <w:sz w:val="32"/>
          <w:szCs w:val="32"/>
        </w:rPr>
        <w:t xml:space="preserve">Forage </w:t>
      </w:r>
      <w:r w:rsidR="00F226CB" w:rsidRPr="00471795">
        <w:rPr>
          <w:b/>
          <w:sz w:val="32"/>
          <w:szCs w:val="32"/>
        </w:rPr>
        <w:t xml:space="preserve">Sorghum </w:t>
      </w:r>
      <w:r w:rsidR="00AD01A6">
        <w:rPr>
          <w:b/>
          <w:sz w:val="32"/>
          <w:szCs w:val="32"/>
        </w:rPr>
        <w:t>is a</w:t>
      </w:r>
      <w:r w:rsidR="00C32E6C" w:rsidRPr="00471795">
        <w:rPr>
          <w:b/>
          <w:sz w:val="32"/>
          <w:szCs w:val="32"/>
        </w:rPr>
        <w:t xml:space="preserve"> Versatile, </w:t>
      </w:r>
    </w:p>
    <w:p w:rsidR="002A53DD" w:rsidRPr="00471795" w:rsidRDefault="00C32E6C" w:rsidP="00471795">
      <w:pPr>
        <w:rPr>
          <w:b/>
          <w:sz w:val="32"/>
          <w:szCs w:val="32"/>
        </w:rPr>
      </w:pPr>
      <w:r w:rsidRPr="00471795">
        <w:rPr>
          <w:b/>
          <w:sz w:val="32"/>
          <w:szCs w:val="32"/>
        </w:rPr>
        <w:t>Economic Alternative to Corn Silage</w:t>
      </w:r>
    </w:p>
    <w:p w:rsidR="00E00E4D" w:rsidRDefault="004D1BBC" w:rsidP="00471795">
      <w:pPr>
        <w:spacing w:before="100" w:beforeAutospacing="1" w:after="100" w:afterAutospacing="1" w:line="360" w:lineRule="auto"/>
        <w:rPr>
          <w:rStyle w:val="Emphasis"/>
          <w:i w:val="0"/>
        </w:rPr>
      </w:pPr>
      <w:r>
        <w:rPr>
          <w:rStyle w:val="Emphasis"/>
        </w:rPr>
        <w:t>Hereford, TX –</w:t>
      </w:r>
      <w:r w:rsidR="008411DC">
        <w:rPr>
          <w:rStyle w:val="Emphasis"/>
        </w:rPr>
        <w:t xml:space="preserve"> </w:t>
      </w:r>
      <w:r w:rsidR="008411DC">
        <w:rPr>
          <w:rStyle w:val="Emphasis"/>
          <w:i w:val="0"/>
        </w:rPr>
        <w:t>Dairy and cattle farm</w:t>
      </w:r>
      <w:r w:rsidR="00627AFA">
        <w:rPr>
          <w:rStyle w:val="Emphasis"/>
          <w:i w:val="0"/>
        </w:rPr>
        <w:t>s across the country are dealing with</w:t>
      </w:r>
      <w:r w:rsidR="008411DC">
        <w:rPr>
          <w:rStyle w:val="Emphasis"/>
          <w:i w:val="0"/>
        </w:rPr>
        <w:t xml:space="preserve"> extensive feed </w:t>
      </w:r>
      <w:r w:rsidR="008411DC" w:rsidRPr="00627AFA">
        <w:rPr>
          <w:rStyle w:val="Emphasis"/>
          <w:i w:val="0"/>
        </w:rPr>
        <w:t xml:space="preserve">shortages and </w:t>
      </w:r>
      <w:r w:rsidR="008411DC">
        <w:rPr>
          <w:rStyle w:val="Emphasis"/>
          <w:i w:val="0"/>
        </w:rPr>
        <w:t>skyrocketing forage commodity prices due to</w:t>
      </w:r>
      <w:r w:rsidR="00627AFA">
        <w:rPr>
          <w:rStyle w:val="Emphasis"/>
          <w:i w:val="0"/>
        </w:rPr>
        <w:t xml:space="preserve"> abandoned </w:t>
      </w:r>
      <w:r w:rsidR="00627AFA" w:rsidRPr="00627AFA">
        <w:rPr>
          <w:rStyle w:val="Emphasis"/>
          <w:i w:val="0"/>
        </w:rPr>
        <w:t>fields, reduced acreages, and lower yields of corn and alfalfa</w:t>
      </w:r>
      <w:r w:rsidR="008411DC">
        <w:rPr>
          <w:rStyle w:val="Emphasis"/>
          <w:i w:val="0"/>
        </w:rPr>
        <w:t>.  The drought is underscoring the need for productive</w:t>
      </w:r>
      <w:r w:rsidR="00900778">
        <w:rPr>
          <w:rStyle w:val="Emphasis"/>
          <w:i w:val="0"/>
        </w:rPr>
        <w:t xml:space="preserve"> forage crops with lower water requirements and </w:t>
      </w:r>
      <w:r w:rsidR="00E00E4D">
        <w:rPr>
          <w:rStyle w:val="Emphasis"/>
          <w:i w:val="0"/>
        </w:rPr>
        <w:t xml:space="preserve">production costs.  </w:t>
      </w:r>
      <w:r w:rsidR="00E00E4D" w:rsidRPr="00F226CB">
        <w:rPr>
          <w:rStyle w:val="Emphasis"/>
          <w:i w:val="0"/>
        </w:rPr>
        <w:t>Independent studies have shown</w:t>
      </w:r>
      <w:r w:rsidR="00E00E4D">
        <w:rPr>
          <w:rStyle w:val="Emphasis"/>
          <w:i w:val="0"/>
        </w:rPr>
        <w:t xml:space="preserve"> forage</w:t>
      </w:r>
      <w:r w:rsidR="00E00E4D" w:rsidRPr="00F226CB">
        <w:rPr>
          <w:rStyle w:val="Emphasis"/>
          <w:i w:val="0"/>
        </w:rPr>
        <w:t xml:space="preserve"> sorghum saves farmers </w:t>
      </w:r>
      <w:r w:rsidR="00E00E4D">
        <w:rPr>
          <w:rStyle w:val="Emphasis"/>
          <w:i w:val="0"/>
        </w:rPr>
        <w:t>an average of</w:t>
      </w:r>
      <w:r w:rsidR="00E00E4D" w:rsidRPr="00F226CB">
        <w:rPr>
          <w:rStyle w:val="Emphasis"/>
          <w:i w:val="0"/>
        </w:rPr>
        <w:t xml:space="preserve"> $200 per acre in total production costs compared to corn silage</w:t>
      </w:r>
      <w:r w:rsidR="00E00E4D">
        <w:rPr>
          <w:rStyle w:val="Emphasis"/>
          <w:i w:val="0"/>
        </w:rPr>
        <w:t xml:space="preserve">.  </w:t>
      </w:r>
      <w:r w:rsidR="0093223A">
        <w:rPr>
          <w:rStyle w:val="Emphasis"/>
          <w:i w:val="0"/>
        </w:rPr>
        <w:t>The following chart details how the newest forage hybrids including</w:t>
      </w:r>
      <w:r w:rsidR="00967F2F">
        <w:rPr>
          <w:rStyle w:val="Emphasis"/>
          <w:i w:val="0"/>
        </w:rPr>
        <w:t xml:space="preserve"> the</w:t>
      </w:r>
      <w:r w:rsidR="0093223A">
        <w:rPr>
          <w:rStyle w:val="Emphasis"/>
          <w:i w:val="0"/>
        </w:rPr>
        <w:t xml:space="preserve"> </w:t>
      </w:r>
      <w:r w:rsidR="00850B17">
        <w:rPr>
          <w:rStyle w:val="Emphasis"/>
          <w:i w:val="0"/>
        </w:rPr>
        <w:t>B</w:t>
      </w:r>
      <w:r w:rsidR="0093223A">
        <w:rPr>
          <w:rStyle w:val="Emphasis"/>
          <w:i w:val="0"/>
        </w:rPr>
        <w:t xml:space="preserve">rachytic </w:t>
      </w:r>
      <w:r w:rsidR="00850B17">
        <w:rPr>
          <w:rStyle w:val="Emphasis"/>
          <w:i w:val="0"/>
        </w:rPr>
        <w:t>D</w:t>
      </w:r>
      <w:r w:rsidR="0093223A">
        <w:rPr>
          <w:rStyle w:val="Emphasis"/>
          <w:i w:val="0"/>
        </w:rPr>
        <w:t xml:space="preserve">warf and </w:t>
      </w:r>
      <w:r w:rsidR="00850B17">
        <w:rPr>
          <w:rStyle w:val="Emphasis"/>
          <w:i w:val="0"/>
        </w:rPr>
        <w:t>B</w:t>
      </w:r>
      <w:r w:rsidR="0093223A">
        <w:rPr>
          <w:rStyle w:val="Emphasis"/>
          <w:i w:val="0"/>
        </w:rPr>
        <w:t xml:space="preserve">rown </w:t>
      </w:r>
      <w:r w:rsidR="00850B17">
        <w:rPr>
          <w:rStyle w:val="Emphasis"/>
          <w:i w:val="0"/>
        </w:rPr>
        <w:t>Midrib-</w:t>
      </w:r>
      <w:r w:rsidR="0093223A">
        <w:rPr>
          <w:rStyle w:val="Emphasis"/>
          <w:i w:val="0"/>
        </w:rPr>
        <w:t>6</w:t>
      </w:r>
      <w:r w:rsidR="00967F2F">
        <w:rPr>
          <w:rStyle w:val="Emphasis"/>
          <w:i w:val="0"/>
        </w:rPr>
        <w:t xml:space="preserve"> characteristics</w:t>
      </w:r>
      <w:r w:rsidR="0093223A">
        <w:rPr>
          <w:rStyle w:val="Emphasis"/>
          <w:i w:val="0"/>
        </w:rPr>
        <w:t xml:space="preserve"> stack up against corn silage.</w:t>
      </w:r>
    </w:p>
    <w:tbl>
      <w:tblPr>
        <w:tblStyle w:val="TableGrid"/>
        <w:tblW w:w="0" w:type="auto"/>
        <w:tblLook w:val="04A0"/>
      </w:tblPr>
      <w:tblGrid>
        <w:gridCol w:w="2628"/>
        <w:gridCol w:w="1490"/>
        <w:gridCol w:w="2059"/>
        <w:gridCol w:w="2059"/>
        <w:gridCol w:w="2060"/>
      </w:tblGrid>
      <w:tr w:rsidR="0093223A" w:rsidTr="0093223A">
        <w:tc>
          <w:tcPr>
            <w:tcW w:w="10296" w:type="dxa"/>
            <w:gridSpan w:val="5"/>
          </w:tcPr>
          <w:p w:rsidR="0093223A" w:rsidRPr="0093223A" w:rsidRDefault="0093223A" w:rsidP="0093223A">
            <w:pPr>
              <w:spacing w:before="100" w:beforeAutospacing="1" w:after="100" w:afterAutospacing="1" w:line="360" w:lineRule="auto"/>
              <w:jc w:val="center"/>
              <w:rPr>
                <w:rStyle w:val="Emphasis"/>
                <w:b/>
                <w:i w:val="0"/>
              </w:rPr>
            </w:pPr>
            <w:r w:rsidRPr="0093223A">
              <w:rPr>
                <w:rStyle w:val="Emphasis"/>
                <w:b/>
                <w:i w:val="0"/>
              </w:rPr>
              <w:t>Selected Production Costs for Irrigated &amp; Dryland Forage Sorghum and Corn Silage</w:t>
            </w:r>
          </w:p>
        </w:tc>
      </w:tr>
      <w:tr w:rsidR="0093223A" w:rsidTr="0093223A">
        <w:tc>
          <w:tcPr>
            <w:tcW w:w="2628" w:type="dxa"/>
          </w:tcPr>
          <w:p w:rsidR="0093223A" w:rsidRPr="0093223A" w:rsidRDefault="0093223A" w:rsidP="00471795">
            <w:pPr>
              <w:spacing w:before="100" w:beforeAutospacing="1" w:after="100" w:afterAutospacing="1" w:line="360" w:lineRule="auto"/>
              <w:rPr>
                <w:rStyle w:val="Emphasis"/>
                <w:b/>
                <w:i w:val="0"/>
              </w:rPr>
            </w:pPr>
          </w:p>
        </w:tc>
        <w:tc>
          <w:tcPr>
            <w:tcW w:w="3549" w:type="dxa"/>
            <w:gridSpan w:val="2"/>
          </w:tcPr>
          <w:p w:rsidR="0093223A" w:rsidRPr="0093223A" w:rsidRDefault="0093223A" w:rsidP="0093223A">
            <w:pPr>
              <w:spacing w:before="100" w:beforeAutospacing="1" w:after="100" w:afterAutospacing="1" w:line="360" w:lineRule="auto"/>
              <w:jc w:val="center"/>
              <w:rPr>
                <w:rStyle w:val="Emphasis"/>
                <w:b/>
                <w:i w:val="0"/>
              </w:rPr>
            </w:pPr>
            <w:r w:rsidRPr="0093223A">
              <w:rPr>
                <w:rStyle w:val="Emphasis"/>
                <w:b/>
                <w:i w:val="0"/>
              </w:rPr>
              <w:t>Total Production Costs $/Acre</w:t>
            </w:r>
          </w:p>
        </w:tc>
        <w:tc>
          <w:tcPr>
            <w:tcW w:w="4119" w:type="dxa"/>
            <w:gridSpan w:val="2"/>
          </w:tcPr>
          <w:p w:rsidR="0093223A" w:rsidRPr="0093223A" w:rsidRDefault="0093223A" w:rsidP="0093223A">
            <w:pPr>
              <w:spacing w:before="100" w:beforeAutospacing="1" w:after="100" w:afterAutospacing="1" w:line="360" w:lineRule="auto"/>
              <w:jc w:val="center"/>
              <w:rPr>
                <w:rStyle w:val="Emphasis"/>
                <w:b/>
                <w:i w:val="0"/>
              </w:rPr>
            </w:pPr>
            <w:r w:rsidRPr="0093223A">
              <w:rPr>
                <w:rStyle w:val="Emphasis"/>
                <w:b/>
                <w:i w:val="0"/>
              </w:rPr>
              <w:t>Costs $/Ton</w:t>
            </w:r>
          </w:p>
        </w:tc>
      </w:tr>
      <w:tr w:rsidR="0093223A" w:rsidTr="0093223A">
        <w:tc>
          <w:tcPr>
            <w:tcW w:w="2628" w:type="dxa"/>
          </w:tcPr>
          <w:p w:rsidR="0093223A" w:rsidRDefault="000006BD" w:rsidP="00471795">
            <w:pPr>
              <w:spacing w:before="100" w:beforeAutospacing="1" w:after="100" w:afterAutospacing="1" w:line="360" w:lineRule="auto"/>
              <w:rPr>
                <w:rStyle w:val="Emphasis"/>
                <w:i w:val="0"/>
              </w:rPr>
            </w:pPr>
            <w:r w:rsidRPr="0093223A">
              <w:rPr>
                <w:rStyle w:val="Emphasis"/>
                <w:b/>
                <w:i w:val="0"/>
              </w:rPr>
              <w:t>State</w:t>
            </w:r>
          </w:p>
        </w:tc>
        <w:tc>
          <w:tcPr>
            <w:tcW w:w="1490" w:type="dxa"/>
          </w:tcPr>
          <w:p w:rsidR="0093223A" w:rsidRDefault="0093223A" w:rsidP="0093223A">
            <w:pPr>
              <w:spacing w:before="100" w:beforeAutospacing="1" w:after="100" w:afterAutospacing="1" w:line="360" w:lineRule="auto"/>
              <w:jc w:val="center"/>
              <w:rPr>
                <w:rStyle w:val="Emphasis"/>
                <w:i w:val="0"/>
              </w:rPr>
            </w:pPr>
            <w:r>
              <w:rPr>
                <w:rStyle w:val="Emphasis"/>
                <w:i w:val="0"/>
              </w:rPr>
              <w:t>Sorghum</w:t>
            </w:r>
            <w:r w:rsidRPr="0093223A">
              <w:rPr>
                <w:rStyle w:val="Emphasis"/>
                <w:i w:val="0"/>
                <w:vertAlign w:val="superscript"/>
              </w:rPr>
              <w:t>1</w:t>
            </w:r>
          </w:p>
        </w:tc>
        <w:tc>
          <w:tcPr>
            <w:tcW w:w="2059" w:type="dxa"/>
          </w:tcPr>
          <w:p w:rsidR="0093223A" w:rsidRDefault="0093223A" w:rsidP="0093223A">
            <w:pPr>
              <w:spacing w:before="100" w:beforeAutospacing="1" w:after="100" w:afterAutospacing="1" w:line="360" w:lineRule="auto"/>
              <w:jc w:val="center"/>
              <w:rPr>
                <w:rStyle w:val="Emphasis"/>
                <w:i w:val="0"/>
              </w:rPr>
            </w:pPr>
            <w:r>
              <w:rPr>
                <w:rStyle w:val="Emphasis"/>
                <w:i w:val="0"/>
              </w:rPr>
              <w:t>Corn</w:t>
            </w:r>
            <w:r w:rsidRPr="0093223A">
              <w:rPr>
                <w:rStyle w:val="Emphasis"/>
                <w:i w:val="0"/>
                <w:vertAlign w:val="superscript"/>
              </w:rPr>
              <w:t>2</w:t>
            </w:r>
          </w:p>
        </w:tc>
        <w:tc>
          <w:tcPr>
            <w:tcW w:w="2059" w:type="dxa"/>
          </w:tcPr>
          <w:p w:rsidR="0093223A" w:rsidRDefault="0093223A" w:rsidP="0093223A">
            <w:pPr>
              <w:spacing w:before="100" w:beforeAutospacing="1" w:after="100" w:afterAutospacing="1" w:line="360" w:lineRule="auto"/>
              <w:jc w:val="center"/>
              <w:rPr>
                <w:rStyle w:val="Emphasis"/>
                <w:i w:val="0"/>
              </w:rPr>
            </w:pPr>
            <w:r>
              <w:rPr>
                <w:rStyle w:val="Emphasis"/>
                <w:i w:val="0"/>
              </w:rPr>
              <w:t>Sorghum</w:t>
            </w:r>
          </w:p>
        </w:tc>
        <w:tc>
          <w:tcPr>
            <w:tcW w:w="2060" w:type="dxa"/>
          </w:tcPr>
          <w:p w:rsidR="0093223A" w:rsidRDefault="0093223A" w:rsidP="0093223A">
            <w:pPr>
              <w:spacing w:before="100" w:beforeAutospacing="1" w:after="100" w:afterAutospacing="1" w:line="360" w:lineRule="auto"/>
              <w:jc w:val="center"/>
              <w:rPr>
                <w:rStyle w:val="Emphasis"/>
                <w:i w:val="0"/>
              </w:rPr>
            </w:pPr>
            <w:r>
              <w:rPr>
                <w:rStyle w:val="Emphasis"/>
                <w:i w:val="0"/>
              </w:rPr>
              <w:t>Corn</w:t>
            </w:r>
          </w:p>
        </w:tc>
      </w:tr>
      <w:tr w:rsidR="0093223A" w:rsidTr="0093223A">
        <w:tc>
          <w:tcPr>
            <w:tcW w:w="2628" w:type="dxa"/>
          </w:tcPr>
          <w:p w:rsidR="0093223A" w:rsidRDefault="0093223A" w:rsidP="00471795">
            <w:pPr>
              <w:spacing w:before="100" w:beforeAutospacing="1" w:after="100" w:afterAutospacing="1" w:line="360" w:lineRule="auto"/>
              <w:rPr>
                <w:rStyle w:val="Emphasis"/>
                <w:i w:val="0"/>
              </w:rPr>
            </w:pPr>
            <w:r>
              <w:rPr>
                <w:rStyle w:val="Emphasis"/>
                <w:i w:val="0"/>
              </w:rPr>
              <w:t>Texas High Plains (</w:t>
            </w:r>
            <w:proofErr w:type="spellStart"/>
            <w:r>
              <w:rPr>
                <w:rStyle w:val="Emphasis"/>
                <w:i w:val="0"/>
              </w:rPr>
              <w:t>irr</w:t>
            </w:r>
            <w:proofErr w:type="spellEnd"/>
            <w:r>
              <w:rPr>
                <w:rStyle w:val="Emphasis"/>
                <w:i w:val="0"/>
              </w:rPr>
              <w:t>.)</w:t>
            </w:r>
          </w:p>
        </w:tc>
        <w:tc>
          <w:tcPr>
            <w:tcW w:w="1490" w:type="dxa"/>
          </w:tcPr>
          <w:p w:rsidR="0093223A" w:rsidRDefault="0093223A" w:rsidP="0093223A">
            <w:pPr>
              <w:spacing w:before="100" w:beforeAutospacing="1" w:after="100" w:afterAutospacing="1" w:line="360" w:lineRule="auto"/>
              <w:jc w:val="center"/>
              <w:rPr>
                <w:rStyle w:val="Emphasis"/>
                <w:i w:val="0"/>
              </w:rPr>
            </w:pPr>
            <w:r>
              <w:rPr>
                <w:rStyle w:val="Emphasis"/>
                <w:i w:val="0"/>
              </w:rPr>
              <w:t>424</w:t>
            </w:r>
          </w:p>
        </w:tc>
        <w:tc>
          <w:tcPr>
            <w:tcW w:w="2059" w:type="dxa"/>
          </w:tcPr>
          <w:p w:rsidR="0093223A" w:rsidRDefault="0093223A" w:rsidP="0093223A">
            <w:pPr>
              <w:spacing w:before="100" w:beforeAutospacing="1" w:after="100" w:afterAutospacing="1" w:line="360" w:lineRule="auto"/>
              <w:jc w:val="center"/>
              <w:rPr>
                <w:rStyle w:val="Emphasis"/>
                <w:i w:val="0"/>
              </w:rPr>
            </w:pPr>
            <w:r>
              <w:rPr>
                <w:rStyle w:val="Emphasis"/>
                <w:i w:val="0"/>
              </w:rPr>
              <w:t>569</w:t>
            </w:r>
          </w:p>
        </w:tc>
        <w:tc>
          <w:tcPr>
            <w:tcW w:w="2059" w:type="dxa"/>
          </w:tcPr>
          <w:p w:rsidR="0093223A" w:rsidRDefault="0093223A" w:rsidP="0093223A">
            <w:pPr>
              <w:spacing w:before="100" w:beforeAutospacing="1" w:after="100" w:afterAutospacing="1" w:line="360" w:lineRule="auto"/>
              <w:jc w:val="center"/>
              <w:rPr>
                <w:rStyle w:val="Emphasis"/>
                <w:i w:val="0"/>
              </w:rPr>
            </w:pPr>
            <w:r>
              <w:rPr>
                <w:rStyle w:val="Emphasis"/>
                <w:i w:val="0"/>
              </w:rPr>
              <w:t>17.66</w:t>
            </w:r>
          </w:p>
        </w:tc>
        <w:tc>
          <w:tcPr>
            <w:tcW w:w="2060" w:type="dxa"/>
          </w:tcPr>
          <w:p w:rsidR="0093223A" w:rsidRDefault="0093223A" w:rsidP="0093223A">
            <w:pPr>
              <w:spacing w:before="100" w:beforeAutospacing="1" w:after="100" w:afterAutospacing="1" w:line="360" w:lineRule="auto"/>
              <w:jc w:val="center"/>
              <w:rPr>
                <w:rStyle w:val="Emphasis"/>
                <w:i w:val="0"/>
              </w:rPr>
            </w:pPr>
            <w:r>
              <w:rPr>
                <w:rStyle w:val="Emphasis"/>
                <w:i w:val="0"/>
              </w:rPr>
              <w:t>27.04</w:t>
            </w:r>
          </w:p>
        </w:tc>
      </w:tr>
      <w:tr w:rsidR="0093223A" w:rsidTr="0093223A">
        <w:tc>
          <w:tcPr>
            <w:tcW w:w="2628" w:type="dxa"/>
          </w:tcPr>
          <w:p w:rsidR="0093223A" w:rsidRDefault="0093223A" w:rsidP="00471795">
            <w:pPr>
              <w:spacing w:before="100" w:beforeAutospacing="1" w:after="100" w:afterAutospacing="1" w:line="360" w:lineRule="auto"/>
              <w:rPr>
                <w:rStyle w:val="Emphasis"/>
                <w:i w:val="0"/>
              </w:rPr>
            </w:pPr>
            <w:r>
              <w:rPr>
                <w:rStyle w:val="Emphasis"/>
                <w:i w:val="0"/>
              </w:rPr>
              <w:t>California (</w:t>
            </w:r>
            <w:proofErr w:type="spellStart"/>
            <w:r>
              <w:rPr>
                <w:rStyle w:val="Emphasis"/>
                <w:i w:val="0"/>
              </w:rPr>
              <w:t>irr</w:t>
            </w:r>
            <w:proofErr w:type="spellEnd"/>
            <w:r>
              <w:rPr>
                <w:rStyle w:val="Emphasis"/>
                <w:i w:val="0"/>
              </w:rPr>
              <w:t>.)</w:t>
            </w:r>
          </w:p>
        </w:tc>
        <w:tc>
          <w:tcPr>
            <w:tcW w:w="1490" w:type="dxa"/>
          </w:tcPr>
          <w:p w:rsidR="0093223A" w:rsidRDefault="0093223A" w:rsidP="0093223A">
            <w:pPr>
              <w:spacing w:before="100" w:beforeAutospacing="1" w:after="100" w:afterAutospacing="1" w:line="360" w:lineRule="auto"/>
              <w:jc w:val="center"/>
              <w:rPr>
                <w:rStyle w:val="Emphasis"/>
                <w:i w:val="0"/>
              </w:rPr>
            </w:pPr>
            <w:r>
              <w:rPr>
                <w:rStyle w:val="Emphasis"/>
                <w:i w:val="0"/>
              </w:rPr>
              <w:t>665</w:t>
            </w:r>
          </w:p>
        </w:tc>
        <w:tc>
          <w:tcPr>
            <w:tcW w:w="2059" w:type="dxa"/>
          </w:tcPr>
          <w:p w:rsidR="0093223A" w:rsidRDefault="0093223A" w:rsidP="0093223A">
            <w:pPr>
              <w:spacing w:before="100" w:beforeAutospacing="1" w:after="100" w:afterAutospacing="1" w:line="360" w:lineRule="auto"/>
              <w:jc w:val="center"/>
              <w:rPr>
                <w:rStyle w:val="Emphasis"/>
                <w:i w:val="0"/>
              </w:rPr>
            </w:pPr>
            <w:r>
              <w:rPr>
                <w:rStyle w:val="Emphasis"/>
                <w:i w:val="0"/>
              </w:rPr>
              <w:t>904</w:t>
            </w:r>
          </w:p>
        </w:tc>
        <w:tc>
          <w:tcPr>
            <w:tcW w:w="2059" w:type="dxa"/>
          </w:tcPr>
          <w:p w:rsidR="0093223A" w:rsidRDefault="0093223A" w:rsidP="0093223A">
            <w:pPr>
              <w:spacing w:before="100" w:beforeAutospacing="1" w:after="100" w:afterAutospacing="1" w:line="360" w:lineRule="auto"/>
              <w:jc w:val="center"/>
              <w:rPr>
                <w:rStyle w:val="Emphasis"/>
                <w:i w:val="0"/>
              </w:rPr>
            </w:pPr>
            <w:r>
              <w:rPr>
                <w:rStyle w:val="Emphasis"/>
                <w:i w:val="0"/>
              </w:rPr>
              <w:t>27.70</w:t>
            </w:r>
          </w:p>
        </w:tc>
        <w:tc>
          <w:tcPr>
            <w:tcW w:w="2060" w:type="dxa"/>
          </w:tcPr>
          <w:p w:rsidR="0093223A" w:rsidRDefault="0093223A" w:rsidP="0093223A">
            <w:pPr>
              <w:spacing w:before="100" w:beforeAutospacing="1" w:after="100" w:afterAutospacing="1" w:line="360" w:lineRule="auto"/>
              <w:jc w:val="center"/>
              <w:rPr>
                <w:rStyle w:val="Emphasis"/>
                <w:i w:val="0"/>
              </w:rPr>
            </w:pPr>
            <w:r>
              <w:rPr>
                <w:rStyle w:val="Emphasis"/>
                <w:i w:val="0"/>
              </w:rPr>
              <w:t>30.13</w:t>
            </w:r>
          </w:p>
        </w:tc>
      </w:tr>
      <w:tr w:rsidR="0093223A" w:rsidTr="0093223A">
        <w:tc>
          <w:tcPr>
            <w:tcW w:w="2628" w:type="dxa"/>
          </w:tcPr>
          <w:p w:rsidR="0093223A" w:rsidRDefault="0093223A" w:rsidP="00471795">
            <w:pPr>
              <w:spacing w:before="100" w:beforeAutospacing="1" w:after="100" w:afterAutospacing="1" w:line="360" w:lineRule="auto"/>
              <w:rPr>
                <w:rStyle w:val="Emphasis"/>
                <w:i w:val="0"/>
              </w:rPr>
            </w:pPr>
            <w:r>
              <w:rPr>
                <w:rStyle w:val="Emphasis"/>
                <w:i w:val="0"/>
              </w:rPr>
              <w:t>Pennsylvania</w:t>
            </w:r>
          </w:p>
        </w:tc>
        <w:tc>
          <w:tcPr>
            <w:tcW w:w="1490" w:type="dxa"/>
          </w:tcPr>
          <w:p w:rsidR="0093223A" w:rsidRDefault="0093223A" w:rsidP="0093223A">
            <w:pPr>
              <w:spacing w:before="100" w:beforeAutospacing="1" w:after="100" w:afterAutospacing="1" w:line="360" w:lineRule="auto"/>
              <w:jc w:val="center"/>
              <w:rPr>
                <w:rStyle w:val="Emphasis"/>
                <w:i w:val="0"/>
              </w:rPr>
            </w:pPr>
            <w:r>
              <w:rPr>
                <w:rStyle w:val="Emphasis"/>
                <w:i w:val="0"/>
              </w:rPr>
              <w:t>402</w:t>
            </w:r>
          </w:p>
        </w:tc>
        <w:tc>
          <w:tcPr>
            <w:tcW w:w="2059" w:type="dxa"/>
          </w:tcPr>
          <w:p w:rsidR="0093223A" w:rsidRDefault="0093223A" w:rsidP="0093223A">
            <w:pPr>
              <w:spacing w:before="100" w:beforeAutospacing="1" w:after="100" w:afterAutospacing="1" w:line="360" w:lineRule="auto"/>
              <w:jc w:val="center"/>
              <w:rPr>
                <w:rStyle w:val="Emphasis"/>
                <w:i w:val="0"/>
              </w:rPr>
            </w:pPr>
            <w:r>
              <w:rPr>
                <w:rStyle w:val="Emphasis"/>
                <w:i w:val="0"/>
              </w:rPr>
              <w:t>662</w:t>
            </w:r>
          </w:p>
        </w:tc>
        <w:tc>
          <w:tcPr>
            <w:tcW w:w="2059" w:type="dxa"/>
          </w:tcPr>
          <w:p w:rsidR="0093223A" w:rsidRDefault="0093223A" w:rsidP="0093223A">
            <w:pPr>
              <w:spacing w:before="100" w:beforeAutospacing="1" w:after="100" w:afterAutospacing="1" w:line="360" w:lineRule="auto"/>
              <w:jc w:val="center"/>
              <w:rPr>
                <w:rStyle w:val="Emphasis"/>
                <w:i w:val="0"/>
              </w:rPr>
            </w:pPr>
            <w:r>
              <w:rPr>
                <w:rStyle w:val="Emphasis"/>
                <w:i w:val="0"/>
              </w:rPr>
              <w:t>26.80</w:t>
            </w:r>
          </w:p>
        </w:tc>
        <w:tc>
          <w:tcPr>
            <w:tcW w:w="2060" w:type="dxa"/>
          </w:tcPr>
          <w:p w:rsidR="0093223A" w:rsidRDefault="0093223A" w:rsidP="0093223A">
            <w:pPr>
              <w:spacing w:before="100" w:beforeAutospacing="1" w:after="100" w:afterAutospacing="1" w:line="360" w:lineRule="auto"/>
              <w:jc w:val="center"/>
              <w:rPr>
                <w:rStyle w:val="Emphasis"/>
                <w:i w:val="0"/>
              </w:rPr>
            </w:pPr>
            <w:r>
              <w:rPr>
                <w:rStyle w:val="Emphasis"/>
                <w:i w:val="0"/>
              </w:rPr>
              <w:t>36.77</w:t>
            </w:r>
          </w:p>
        </w:tc>
      </w:tr>
      <w:tr w:rsidR="0093223A" w:rsidTr="0093223A">
        <w:tc>
          <w:tcPr>
            <w:tcW w:w="2628" w:type="dxa"/>
          </w:tcPr>
          <w:p w:rsidR="0093223A" w:rsidRPr="0093223A" w:rsidRDefault="0093223A" w:rsidP="00471795">
            <w:pPr>
              <w:spacing w:before="100" w:beforeAutospacing="1" w:after="100" w:afterAutospacing="1" w:line="360" w:lineRule="auto"/>
              <w:rPr>
                <w:rStyle w:val="Emphasis"/>
                <w:b/>
                <w:i w:val="0"/>
              </w:rPr>
            </w:pPr>
            <w:r w:rsidRPr="0093223A">
              <w:rPr>
                <w:rStyle w:val="Emphasis"/>
                <w:b/>
                <w:i w:val="0"/>
              </w:rPr>
              <w:t>Average</w:t>
            </w:r>
          </w:p>
        </w:tc>
        <w:tc>
          <w:tcPr>
            <w:tcW w:w="1490" w:type="dxa"/>
          </w:tcPr>
          <w:p w:rsidR="0093223A" w:rsidRPr="0093223A" w:rsidRDefault="0093223A" w:rsidP="0093223A">
            <w:pPr>
              <w:spacing w:before="100" w:beforeAutospacing="1" w:after="100" w:afterAutospacing="1" w:line="360" w:lineRule="auto"/>
              <w:jc w:val="center"/>
              <w:rPr>
                <w:rStyle w:val="Emphasis"/>
                <w:b/>
                <w:i w:val="0"/>
              </w:rPr>
            </w:pPr>
            <w:r w:rsidRPr="0093223A">
              <w:rPr>
                <w:rStyle w:val="Emphasis"/>
                <w:b/>
                <w:i w:val="0"/>
              </w:rPr>
              <w:t>497</w:t>
            </w:r>
          </w:p>
        </w:tc>
        <w:tc>
          <w:tcPr>
            <w:tcW w:w="2059" w:type="dxa"/>
          </w:tcPr>
          <w:p w:rsidR="0093223A" w:rsidRPr="0093223A" w:rsidRDefault="0093223A" w:rsidP="0093223A">
            <w:pPr>
              <w:spacing w:before="100" w:beforeAutospacing="1" w:after="100" w:afterAutospacing="1" w:line="360" w:lineRule="auto"/>
              <w:jc w:val="center"/>
              <w:rPr>
                <w:rStyle w:val="Emphasis"/>
                <w:b/>
                <w:i w:val="0"/>
              </w:rPr>
            </w:pPr>
            <w:r w:rsidRPr="0093223A">
              <w:rPr>
                <w:rStyle w:val="Emphasis"/>
                <w:b/>
                <w:i w:val="0"/>
              </w:rPr>
              <w:t>712</w:t>
            </w:r>
          </w:p>
        </w:tc>
        <w:tc>
          <w:tcPr>
            <w:tcW w:w="2059" w:type="dxa"/>
          </w:tcPr>
          <w:p w:rsidR="0093223A" w:rsidRPr="0093223A" w:rsidRDefault="0093223A" w:rsidP="0093223A">
            <w:pPr>
              <w:spacing w:before="100" w:beforeAutospacing="1" w:after="100" w:afterAutospacing="1" w:line="360" w:lineRule="auto"/>
              <w:jc w:val="center"/>
              <w:rPr>
                <w:rStyle w:val="Emphasis"/>
                <w:b/>
                <w:i w:val="0"/>
              </w:rPr>
            </w:pPr>
            <w:r w:rsidRPr="0093223A">
              <w:rPr>
                <w:rStyle w:val="Emphasis"/>
                <w:b/>
                <w:i w:val="0"/>
              </w:rPr>
              <w:t>24.05</w:t>
            </w:r>
          </w:p>
        </w:tc>
        <w:tc>
          <w:tcPr>
            <w:tcW w:w="2060" w:type="dxa"/>
          </w:tcPr>
          <w:p w:rsidR="0093223A" w:rsidRPr="0093223A" w:rsidRDefault="0093223A" w:rsidP="0093223A">
            <w:pPr>
              <w:spacing w:before="100" w:beforeAutospacing="1" w:after="100" w:afterAutospacing="1" w:line="360" w:lineRule="auto"/>
              <w:jc w:val="center"/>
              <w:rPr>
                <w:rStyle w:val="Emphasis"/>
                <w:b/>
                <w:i w:val="0"/>
              </w:rPr>
            </w:pPr>
            <w:r w:rsidRPr="0093223A">
              <w:rPr>
                <w:rStyle w:val="Emphasis"/>
                <w:b/>
                <w:i w:val="0"/>
              </w:rPr>
              <w:t>31.31</w:t>
            </w:r>
          </w:p>
        </w:tc>
      </w:tr>
      <w:tr w:rsidR="0093223A" w:rsidTr="0093223A">
        <w:tc>
          <w:tcPr>
            <w:tcW w:w="10296" w:type="dxa"/>
            <w:gridSpan w:val="5"/>
          </w:tcPr>
          <w:p w:rsidR="0093223A" w:rsidRDefault="0093223A" w:rsidP="00471795">
            <w:pPr>
              <w:spacing w:before="100" w:beforeAutospacing="1" w:after="100" w:afterAutospacing="1" w:line="360" w:lineRule="auto"/>
              <w:rPr>
                <w:rStyle w:val="Emphasis"/>
                <w:i w:val="0"/>
              </w:rPr>
            </w:pPr>
            <w:r>
              <w:rPr>
                <w:rStyle w:val="Emphasis"/>
                <w:i w:val="0"/>
              </w:rPr>
              <w:t>1 –</w:t>
            </w:r>
            <w:r w:rsidR="00850B17">
              <w:rPr>
                <w:rStyle w:val="Emphasis"/>
                <w:i w:val="0"/>
              </w:rPr>
              <w:t xml:space="preserve"> Brachytic Dwarf, BMR-</w:t>
            </w:r>
            <w:r>
              <w:rPr>
                <w:rStyle w:val="Emphasis"/>
                <w:i w:val="0"/>
              </w:rPr>
              <w:t xml:space="preserve">6 Hybrid – 7 lbs seed/acre, 2 – </w:t>
            </w:r>
            <w:proofErr w:type="spellStart"/>
            <w:r>
              <w:rPr>
                <w:rStyle w:val="Emphasis"/>
                <w:i w:val="0"/>
              </w:rPr>
              <w:t>Traited</w:t>
            </w:r>
            <w:proofErr w:type="spellEnd"/>
            <w:r>
              <w:rPr>
                <w:rStyle w:val="Emphasis"/>
                <w:i w:val="0"/>
              </w:rPr>
              <w:t xml:space="preserve"> Corn Hybrid – 34,000 seed/acre</w:t>
            </w:r>
          </w:p>
        </w:tc>
      </w:tr>
      <w:tr w:rsidR="0093223A" w:rsidTr="0093223A">
        <w:tc>
          <w:tcPr>
            <w:tcW w:w="10296" w:type="dxa"/>
            <w:gridSpan w:val="5"/>
          </w:tcPr>
          <w:p w:rsidR="0093223A" w:rsidRDefault="0093223A" w:rsidP="0093223A">
            <w:pPr>
              <w:spacing w:before="100" w:beforeAutospacing="1" w:after="100" w:afterAutospacing="1" w:line="360" w:lineRule="auto"/>
              <w:rPr>
                <w:rStyle w:val="Emphasis"/>
                <w:i w:val="0"/>
              </w:rPr>
            </w:pPr>
            <w:r>
              <w:rPr>
                <w:rStyle w:val="Emphasis"/>
                <w:i w:val="0"/>
              </w:rPr>
              <w:t>2009 Texas AgriLife Extension Service, University of California Cooperative Extension, Penn State Cooperative Extension Service</w:t>
            </w:r>
          </w:p>
        </w:tc>
      </w:tr>
    </w:tbl>
    <w:p w:rsidR="002803D0" w:rsidRDefault="004D1BBC" w:rsidP="00471795">
      <w:pPr>
        <w:spacing w:before="100" w:beforeAutospacing="1" w:after="100" w:afterAutospacing="1" w:line="360" w:lineRule="auto"/>
        <w:rPr>
          <w:rStyle w:val="Emphasis"/>
          <w:i w:val="0"/>
        </w:rPr>
      </w:pPr>
      <w:r>
        <w:rPr>
          <w:rStyle w:val="Emphasis"/>
          <w:i w:val="0"/>
        </w:rPr>
        <w:t>“</w:t>
      </w:r>
      <w:r w:rsidR="00850B17">
        <w:rPr>
          <w:rStyle w:val="Emphasis"/>
          <w:i w:val="0"/>
        </w:rPr>
        <w:t>F</w:t>
      </w:r>
      <w:r w:rsidR="002803D0">
        <w:rPr>
          <w:rStyle w:val="Emphasis"/>
          <w:i w:val="0"/>
        </w:rPr>
        <w:t>orage sorghum</w:t>
      </w:r>
      <w:r w:rsidR="00850B17">
        <w:rPr>
          <w:rStyle w:val="Emphasis"/>
          <w:i w:val="0"/>
        </w:rPr>
        <w:t xml:space="preserve"> with the Brachytic Dwarf and BMR-6 combination</w:t>
      </w:r>
      <w:r w:rsidR="002803D0">
        <w:rPr>
          <w:rStyle w:val="Emphasis"/>
          <w:i w:val="0"/>
        </w:rPr>
        <w:t xml:space="preserve"> can produce </w:t>
      </w:r>
      <w:r w:rsidR="00627AFA">
        <w:rPr>
          <w:rStyle w:val="Emphasis"/>
          <w:i w:val="0"/>
        </w:rPr>
        <w:t>high yield</w:t>
      </w:r>
      <w:r w:rsidR="002803D0">
        <w:rPr>
          <w:rStyle w:val="Emphasis"/>
          <w:i w:val="0"/>
        </w:rPr>
        <w:t xml:space="preserve"> and </w:t>
      </w:r>
      <w:r w:rsidR="00627AFA">
        <w:rPr>
          <w:rStyle w:val="Emphasis"/>
          <w:i w:val="0"/>
        </w:rPr>
        <w:t>feed value</w:t>
      </w:r>
      <w:r w:rsidR="002803D0">
        <w:rPr>
          <w:rStyle w:val="Emphasis"/>
          <w:i w:val="0"/>
        </w:rPr>
        <w:t xml:space="preserve"> equal to corn with </w:t>
      </w:r>
      <w:r w:rsidR="002F6286">
        <w:rPr>
          <w:rStyle w:val="Emphasis"/>
          <w:i w:val="0"/>
        </w:rPr>
        <w:t>a variety of uses including hay, silage and grazing</w:t>
      </w:r>
      <w:r>
        <w:rPr>
          <w:rStyle w:val="Emphasis"/>
          <w:i w:val="0"/>
        </w:rPr>
        <w:t xml:space="preserve">,” </w:t>
      </w:r>
      <w:r>
        <w:t xml:space="preserve">says </w:t>
      </w:r>
      <w:r w:rsidR="00016467">
        <w:t>Barry Lubbers</w:t>
      </w:r>
      <w:r>
        <w:t xml:space="preserve">, </w:t>
      </w:r>
      <w:r w:rsidR="00016467">
        <w:t xml:space="preserve">U.S. </w:t>
      </w:r>
      <w:r>
        <w:t>sales manager</w:t>
      </w:r>
      <w:r w:rsidR="00016467">
        <w:t xml:space="preserve"> for Alta Seeds</w:t>
      </w:r>
      <w:r>
        <w:t xml:space="preserve">. </w:t>
      </w:r>
      <w:r>
        <w:rPr>
          <w:rStyle w:val="Emphasis"/>
          <w:i w:val="0"/>
        </w:rPr>
        <w:t xml:space="preserve"> “</w:t>
      </w:r>
      <w:r w:rsidR="002F6286">
        <w:rPr>
          <w:rStyle w:val="Emphasis"/>
          <w:i w:val="0"/>
        </w:rPr>
        <w:t>Sorghum’s water use efficiency is one of its greatest strengths</w:t>
      </w:r>
      <w:r w:rsidR="00016467">
        <w:rPr>
          <w:rStyle w:val="Emphasis"/>
          <w:i w:val="0"/>
        </w:rPr>
        <w:t>.</w:t>
      </w:r>
      <w:r w:rsidR="002F6286">
        <w:rPr>
          <w:rStyle w:val="Emphasis"/>
          <w:i w:val="0"/>
        </w:rPr>
        <w:t xml:space="preserve">  </w:t>
      </w:r>
      <w:r w:rsidR="00003706">
        <w:rPr>
          <w:rStyle w:val="Emphasis"/>
          <w:i w:val="0"/>
        </w:rPr>
        <w:t>S</w:t>
      </w:r>
      <w:r w:rsidR="002F6286">
        <w:rPr>
          <w:rStyle w:val="Emphasis"/>
          <w:i w:val="0"/>
        </w:rPr>
        <w:t>orghum is a hardy, drought tolerant pla</w:t>
      </w:r>
      <w:r w:rsidR="00003706">
        <w:rPr>
          <w:rStyle w:val="Emphasis"/>
          <w:i w:val="0"/>
        </w:rPr>
        <w:t>nt that</w:t>
      </w:r>
      <w:r w:rsidR="002F6286">
        <w:rPr>
          <w:rStyle w:val="Emphasis"/>
          <w:i w:val="0"/>
        </w:rPr>
        <w:t xml:space="preserve"> </w:t>
      </w:r>
      <w:r w:rsidR="004F1324">
        <w:rPr>
          <w:rStyle w:val="Emphasis"/>
          <w:i w:val="0"/>
        </w:rPr>
        <w:t xml:space="preserve">can perform with up to </w:t>
      </w:r>
      <w:r w:rsidR="002F6286">
        <w:rPr>
          <w:rStyle w:val="Emphasis"/>
          <w:i w:val="0"/>
        </w:rPr>
        <w:t xml:space="preserve">40 percent less water than corn. </w:t>
      </w:r>
      <w:r w:rsidR="00C80EF6">
        <w:rPr>
          <w:rStyle w:val="Emphasis"/>
          <w:i w:val="0"/>
        </w:rPr>
        <w:lastRenderedPageBreak/>
        <w:t xml:space="preserve">According to research published by Texas </w:t>
      </w:r>
      <w:proofErr w:type="spellStart"/>
      <w:r w:rsidR="00C80EF6">
        <w:rPr>
          <w:rStyle w:val="Emphasis"/>
          <w:i w:val="0"/>
        </w:rPr>
        <w:t>AgriLife</w:t>
      </w:r>
      <w:proofErr w:type="spellEnd"/>
      <w:r w:rsidR="00C80EF6">
        <w:rPr>
          <w:rStyle w:val="Emphasis"/>
          <w:i w:val="0"/>
        </w:rPr>
        <w:t xml:space="preserve"> Extension in 2001, BMR-6 forage sorghums will yield 1.75 tons of biomass per one inch of water applied, while corn will produce less than one ton per inch of water applied. </w:t>
      </w:r>
      <w:r w:rsidR="002F6286">
        <w:rPr>
          <w:rStyle w:val="Emphasis"/>
          <w:i w:val="0"/>
        </w:rPr>
        <w:t xml:space="preserve">For irrigated producers, </w:t>
      </w:r>
      <w:r w:rsidR="00C80EF6">
        <w:rPr>
          <w:rStyle w:val="Emphasis"/>
          <w:i w:val="0"/>
        </w:rPr>
        <w:t xml:space="preserve">greater water-use efficiency means </w:t>
      </w:r>
      <w:r w:rsidR="002F6286">
        <w:rPr>
          <w:rStyle w:val="Emphasis"/>
          <w:i w:val="0"/>
        </w:rPr>
        <w:t>pumping less water</w:t>
      </w:r>
      <w:r w:rsidR="00D91E74">
        <w:rPr>
          <w:rStyle w:val="Emphasis"/>
          <w:i w:val="0"/>
        </w:rPr>
        <w:t>, reducing</w:t>
      </w:r>
      <w:r w:rsidR="002F6286">
        <w:rPr>
          <w:rStyle w:val="Emphasis"/>
          <w:i w:val="0"/>
        </w:rPr>
        <w:t xml:space="preserve"> the cost per acre of the forage produced.</w:t>
      </w:r>
      <w:r w:rsidR="00C80EF6">
        <w:rPr>
          <w:rStyle w:val="Emphasis"/>
          <w:i w:val="0"/>
        </w:rPr>
        <w:t>”</w:t>
      </w:r>
    </w:p>
    <w:p w:rsidR="00C27356" w:rsidRDefault="00285E47" w:rsidP="00471795">
      <w:pPr>
        <w:spacing w:before="100" w:beforeAutospacing="1" w:after="100" w:afterAutospacing="1" w:line="360" w:lineRule="auto"/>
        <w:rPr>
          <w:rStyle w:val="Emphasis"/>
          <w:i w:val="0"/>
        </w:rPr>
      </w:pPr>
      <w:r>
        <w:rPr>
          <w:rStyle w:val="Emphasis"/>
          <w:i w:val="0"/>
        </w:rPr>
        <w:t>According to</w:t>
      </w:r>
      <w:r w:rsidR="00701B59">
        <w:rPr>
          <w:rStyle w:val="Emphasis"/>
          <w:i w:val="0"/>
        </w:rPr>
        <w:t xml:space="preserve"> </w:t>
      </w:r>
      <w:r w:rsidR="003E4912">
        <w:rPr>
          <w:rStyle w:val="Emphasis"/>
          <w:i w:val="0"/>
        </w:rPr>
        <w:t>Mark Marsalis</w:t>
      </w:r>
      <w:r w:rsidR="00B54AF5">
        <w:rPr>
          <w:rStyle w:val="Emphasis"/>
          <w:i w:val="0"/>
        </w:rPr>
        <w:t>, an extension agronomy specialist</w:t>
      </w:r>
      <w:r w:rsidR="00701B59">
        <w:rPr>
          <w:rStyle w:val="Emphasis"/>
          <w:i w:val="0"/>
        </w:rPr>
        <w:t xml:space="preserve"> at</w:t>
      </w:r>
      <w:r w:rsidR="003E4912">
        <w:rPr>
          <w:rStyle w:val="Emphasis"/>
          <w:i w:val="0"/>
        </w:rPr>
        <w:t xml:space="preserve"> New Mexico State University</w:t>
      </w:r>
      <w:r>
        <w:rPr>
          <w:rStyle w:val="Emphasis"/>
          <w:i w:val="0"/>
        </w:rPr>
        <w:t xml:space="preserve">, forage sorghum is </w:t>
      </w:r>
      <w:r w:rsidR="00D91E74">
        <w:rPr>
          <w:rStyle w:val="Emphasis"/>
          <w:i w:val="0"/>
        </w:rPr>
        <w:t xml:space="preserve">often </w:t>
      </w:r>
      <w:r>
        <w:rPr>
          <w:rStyle w:val="Emphasis"/>
          <w:i w:val="0"/>
        </w:rPr>
        <w:t xml:space="preserve">a viable alternative to corn silage, especially in areas where rainfall or </w:t>
      </w:r>
      <w:r w:rsidR="00E256CB">
        <w:rPr>
          <w:rStyle w:val="Emphasis"/>
          <w:i w:val="0"/>
        </w:rPr>
        <w:t>irrigation</w:t>
      </w:r>
      <w:r>
        <w:rPr>
          <w:rStyle w:val="Emphasis"/>
          <w:i w:val="0"/>
        </w:rPr>
        <w:t xml:space="preserve"> is limited.  Marsalis released</w:t>
      </w:r>
      <w:r w:rsidR="00D91E74">
        <w:rPr>
          <w:rStyle w:val="Emphasis"/>
          <w:i w:val="0"/>
        </w:rPr>
        <w:t xml:space="preserve"> </w:t>
      </w:r>
      <w:r>
        <w:rPr>
          <w:rStyle w:val="Emphasis"/>
          <w:i w:val="0"/>
        </w:rPr>
        <w:t>a recent paper</w:t>
      </w:r>
      <w:r w:rsidR="0093223A">
        <w:rPr>
          <w:rStyle w:val="Emphasis"/>
          <w:i w:val="0"/>
          <w:vertAlign w:val="superscript"/>
        </w:rPr>
        <w:t>*</w:t>
      </w:r>
      <w:r>
        <w:rPr>
          <w:rStyle w:val="Emphasis"/>
          <w:i w:val="0"/>
        </w:rPr>
        <w:t xml:space="preserve"> stating</w:t>
      </w:r>
      <w:r w:rsidR="005D71F1">
        <w:rPr>
          <w:rStyle w:val="Emphasis"/>
          <w:i w:val="0"/>
        </w:rPr>
        <w:t xml:space="preserve"> the case for </w:t>
      </w:r>
      <w:r>
        <w:rPr>
          <w:rStyle w:val="Emphasis"/>
          <w:i w:val="0"/>
        </w:rPr>
        <w:t>more growers to consider planting</w:t>
      </w:r>
      <w:r w:rsidR="005D71F1">
        <w:rPr>
          <w:rStyle w:val="Emphasis"/>
          <w:i w:val="0"/>
        </w:rPr>
        <w:t xml:space="preserve"> forage sorghum.  </w:t>
      </w:r>
      <w:r w:rsidR="00C27356">
        <w:rPr>
          <w:rStyle w:val="Emphasis"/>
          <w:i w:val="0"/>
        </w:rPr>
        <w:t>“Input costs can be considerably less with forage sorghum than corn,” Marsalis says. “Silage growers can potentially save on fertilizer expenses when growing forage sorghum.  Excellent yields (up to 30 tons/acre</w:t>
      </w:r>
      <w:r w:rsidR="00D23161">
        <w:rPr>
          <w:rStyle w:val="Emphasis"/>
          <w:i w:val="0"/>
        </w:rPr>
        <w:t xml:space="preserve"> with conventional types</w:t>
      </w:r>
      <w:r w:rsidR="00C27356">
        <w:rPr>
          <w:rStyle w:val="Emphasis"/>
          <w:i w:val="0"/>
        </w:rPr>
        <w:t xml:space="preserve">) have been obtained with 200 lb/ac or less or nitrogen, which is less than what is commonly put on corn for the same yield goal.”  </w:t>
      </w:r>
      <w:r w:rsidR="00003706">
        <w:rPr>
          <w:rStyle w:val="Emphasis"/>
          <w:i w:val="0"/>
        </w:rPr>
        <w:t>Sorghum s</w:t>
      </w:r>
      <w:r w:rsidR="004D1BBC">
        <w:rPr>
          <w:rStyle w:val="Emphasis"/>
          <w:i w:val="0"/>
        </w:rPr>
        <w:t xml:space="preserve">eed costs </w:t>
      </w:r>
      <w:r w:rsidR="00003706">
        <w:rPr>
          <w:rStyle w:val="Emphasis"/>
          <w:i w:val="0"/>
        </w:rPr>
        <w:t>approximately</w:t>
      </w:r>
      <w:r w:rsidR="004D1BBC">
        <w:rPr>
          <w:rStyle w:val="Emphasis"/>
          <w:i w:val="0"/>
        </w:rPr>
        <w:t xml:space="preserve"> $1</w:t>
      </w:r>
      <w:r w:rsidR="002F6286">
        <w:rPr>
          <w:rStyle w:val="Emphasis"/>
          <w:i w:val="0"/>
        </w:rPr>
        <w:t>5</w:t>
      </w:r>
      <w:r w:rsidR="004D1BBC">
        <w:rPr>
          <w:rStyle w:val="Emphasis"/>
          <w:i w:val="0"/>
        </w:rPr>
        <w:t xml:space="preserve"> per acre compared to corn in the $100 per acre range, including traits.</w:t>
      </w:r>
    </w:p>
    <w:p w:rsidR="00C86FA7" w:rsidRDefault="008708C5" w:rsidP="00C86FA7">
      <w:pPr>
        <w:spacing w:before="100" w:beforeAutospacing="1" w:after="100" w:afterAutospacing="1" w:line="360" w:lineRule="auto"/>
      </w:pPr>
      <w:r>
        <w:rPr>
          <w:rStyle w:val="Emphasis"/>
          <w:i w:val="0"/>
        </w:rPr>
        <w:t xml:space="preserve">“Silage producers must face the challenge of growing adequate feed supplies with considerably less </w:t>
      </w:r>
      <w:bookmarkStart w:id="0" w:name="_GoBack"/>
      <w:bookmarkEnd w:id="0"/>
      <w:r>
        <w:rPr>
          <w:rStyle w:val="Emphasis"/>
          <w:i w:val="0"/>
        </w:rPr>
        <w:t>inputs than in the past,” Marsalis says.  “T</w:t>
      </w:r>
      <w:r w:rsidR="00C27356">
        <w:rPr>
          <w:rStyle w:val="Emphasis"/>
          <w:i w:val="0"/>
        </w:rPr>
        <w:t>he drought and heat tolerance of forage sorghum combined with the ability to resume growth after drought makes it an idea</w:t>
      </w:r>
      <w:r w:rsidR="00C86FA7">
        <w:rPr>
          <w:rStyle w:val="Emphasis"/>
          <w:i w:val="0"/>
        </w:rPr>
        <w:t>l</w:t>
      </w:r>
      <w:r w:rsidR="00C27356">
        <w:rPr>
          <w:rStyle w:val="Emphasis"/>
          <w:i w:val="0"/>
        </w:rPr>
        <w:t xml:space="preserve"> candidate for silage systems in dry climates facing water supply </w:t>
      </w:r>
      <w:r>
        <w:rPr>
          <w:rStyle w:val="Emphasis"/>
          <w:i w:val="0"/>
        </w:rPr>
        <w:t xml:space="preserve">concerns.” </w:t>
      </w:r>
      <w:r w:rsidR="00F610CD">
        <w:rPr>
          <w:rStyle w:val="Emphasis"/>
          <w:i w:val="0"/>
        </w:rPr>
        <w:t>His research has shown that forage sorghum can produce comparable or better yields than corn when irrigation water becomes limiting</w:t>
      </w:r>
      <w:r w:rsidR="00D91E74">
        <w:rPr>
          <w:rStyle w:val="Emphasis"/>
          <w:i w:val="0"/>
        </w:rPr>
        <w:t xml:space="preserve"> or when growing conditions are less than ideal</w:t>
      </w:r>
      <w:r w:rsidR="00F610CD">
        <w:rPr>
          <w:rStyle w:val="Emphasis"/>
          <w:i w:val="0"/>
        </w:rPr>
        <w:t>.</w:t>
      </w:r>
    </w:p>
    <w:p w:rsidR="004D1BBC" w:rsidRPr="00C86FA7" w:rsidRDefault="00C86FA7" w:rsidP="00C86FA7">
      <w:pPr>
        <w:spacing w:before="100" w:beforeAutospacing="1" w:after="100" w:afterAutospacing="1" w:line="360" w:lineRule="auto"/>
      </w:pPr>
      <w:r>
        <w:rPr>
          <w:rStyle w:val="Emphasis"/>
          <w:i w:val="0"/>
        </w:rPr>
        <w:t xml:space="preserve">The Alta Seeds product line-up </w:t>
      </w:r>
      <w:r w:rsidR="00701B59">
        <w:rPr>
          <w:rStyle w:val="Emphasis"/>
          <w:i w:val="0"/>
        </w:rPr>
        <w:t>offers several forage options</w:t>
      </w:r>
      <w:r>
        <w:rPr>
          <w:rStyle w:val="Emphasis"/>
          <w:i w:val="0"/>
        </w:rPr>
        <w:t xml:space="preserve"> for farmers, ranchers and dairies seeking an alternative to corn silage.  </w:t>
      </w:r>
      <w:r w:rsidR="004D1BBC">
        <w:t>“Whether it’s an irrigated or dryland farming operation</w:t>
      </w:r>
      <w:r w:rsidR="004D1BBC" w:rsidRPr="00FF47C4">
        <w:t>, sorghum’s adaptive nature, high production</w:t>
      </w:r>
      <w:r w:rsidR="004D1BBC">
        <w:t xml:space="preserve"> efficiency</w:t>
      </w:r>
      <w:r w:rsidR="004D1BBC" w:rsidRPr="00FF47C4">
        <w:t xml:space="preserve">, and </w:t>
      </w:r>
      <w:r w:rsidR="00B54AF5">
        <w:t>versatility</w:t>
      </w:r>
      <w:r w:rsidR="004D1BBC" w:rsidRPr="00FF47C4">
        <w:t xml:space="preserve"> make it a valuable tool and the best choice for forage producers dem</w:t>
      </w:r>
      <w:r w:rsidR="004D1BBC">
        <w:t>anding</w:t>
      </w:r>
      <w:r w:rsidR="00285E47">
        <w:t xml:space="preserve"> a reliable crop that produces</w:t>
      </w:r>
      <w:r w:rsidR="004D1BBC">
        <w:t xml:space="preserve"> high quality feed,” </w:t>
      </w:r>
      <w:r w:rsidR="008411DC">
        <w:t>says Lubbers.</w:t>
      </w:r>
    </w:p>
    <w:p w:rsidR="00634DA8" w:rsidRPr="00220ADA" w:rsidRDefault="00634DA8" w:rsidP="00634DA8">
      <w:pPr>
        <w:jc w:val="center"/>
      </w:pPr>
      <w:r w:rsidRPr="00220ADA">
        <w:t>###</w:t>
      </w:r>
    </w:p>
    <w:p w:rsidR="009D79ED" w:rsidRDefault="009D79ED" w:rsidP="004D1BBC">
      <w:pPr>
        <w:widowControl w:val="0"/>
        <w:autoSpaceDE w:val="0"/>
        <w:autoSpaceDN w:val="0"/>
        <w:adjustRightInd w:val="0"/>
        <w:outlineLvl w:val="0"/>
        <w:rPr>
          <w:b/>
          <w:color w:val="000000"/>
        </w:rPr>
      </w:pPr>
    </w:p>
    <w:p w:rsidR="00E256CB" w:rsidRDefault="00850B17" w:rsidP="00E256CB">
      <w:pPr>
        <w:autoSpaceDE w:val="0"/>
        <w:autoSpaceDN w:val="0"/>
        <w:adjustRightInd w:val="0"/>
      </w:pPr>
      <w:r>
        <w:t>*</w:t>
      </w:r>
    </w:p>
    <w:p w:rsidR="00285E47" w:rsidRDefault="00E256CB" w:rsidP="00E256CB">
      <w:pPr>
        <w:autoSpaceDE w:val="0"/>
        <w:autoSpaceDN w:val="0"/>
        <w:adjustRightInd w:val="0"/>
      </w:pPr>
      <w:r>
        <w:t xml:space="preserve">M.A. Marsalis, Extension Agronomist, New Mexico State University, Agricultural Science Center at Clovis, 2346 SR 288, Clovis, NM 88101; In: Proceedings, 2011 Western Alfalfa &amp; Forage Conference, Las Vegas, NV, 11-13 December, 2011. UC Cooperative Extension, Plant Sciences Department, University of California, Davis, CA 95616. </w:t>
      </w:r>
      <w:hyperlink r:id="rId7" w:history="1">
        <w:r w:rsidR="00B54AF5" w:rsidRPr="003D56BF">
          <w:rPr>
            <w:rStyle w:val="Hyperlink"/>
          </w:rPr>
          <w:t>http://alfalfa.ucdavis.edu/+symposium/2011/files/talks/11WAS-10_Marsalis_SorghumSilage.pdf</w:t>
        </w:r>
      </w:hyperlink>
    </w:p>
    <w:p w:rsidR="00B54AF5" w:rsidRDefault="00B54AF5" w:rsidP="00E256CB">
      <w:pPr>
        <w:autoSpaceDE w:val="0"/>
        <w:autoSpaceDN w:val="0"/>
        <w:adjustRightInd w:val="0"/>
      </w:pPr>
    </w:p>
    <w:p w:rsidR="0093223A" w:rsidRPr="00220ADA" w:rsidRDefault="0093223A" w:rsidP="0093223A">
      <w:pPr>
        <w:widowControl w:val="0"/>
        <w:autoSpaceDE w:val="0"/>
        <w:autoSpaceDN w:val="0"/>
        <w:adjustRightInd w:val="0"/>
        <w:outlineLvl w:val="0"/>
        <w:rPr>
          <w:b/>
          <w:color w:val="000000"/>
        </w:rPr>
      </w:pPr>
      <w:r>
        <w:rPr>
          <w:b/>
          <w:color w:val="000000"/>
        </w:rPr>
        <w:lastRenderedPageBreak/>
        <w:t>About Alta Seeds</w:t>
      </w:r>
    </w:p>
    <w:p w:rsidR="0093223A" w:rsidRDefault="0093223A" w:rsidP="0093223A">
      <w:pPr>
        <w:widowControl w:val="0"/>
        <w:autoSpaceDE w:val="0"/>
        <w:autoSpaceDN w:val="0"/>
        <w:adjustRightInd w:val="0"/>
      </w:pPr>
      <w:r>
        <w:t xml:space="preserve">Alta Seeds is a brand of Advanta US, an operating unit of Advanta.  </w:t>
      </w:r>
      <w:r w:rsidRPr="0050070D">
        <w:t>Advanta is an India-based global seed business that combines proprietary crop genetics and plant breeding capabilities with biotechnology to produce high quality seed products and solutions for its customers around the world.  Advanta is a member of the UPL group of companies.</w:t>
      </w:r>
      <w:r>
        <w:t xml:space="preserve"> </w:t>
      </w:r>
      <w:r w:rsidRPr="00220ADA">
        <w:t xml:space="preserve">For more information visit:  </w:t>
      </w:r>
      <w:hyperlink r:id="rId8" w:history="1">
        <w:r w:rsidRPr="00E927AF">
          <w:rPr>
            <w:rStyle w:val="Hyperlink"/>
          </w:rPr>
          <w:t>www.AltaSeeds.com</w:t>
        </w:r>
      </w:hyperlink>
    </w:p>
    <w:p w:rsidR="0093223A" w:rsidRDefault="0093223A" w:rsidP="00E256CB">
      <w:pPr>
        <w:autoSpaceDE w:val="0"/>
        <w:autoSpaceDN w:val="0"/>
        <w:adjustRightInd w:val="0"/>
      </w:pPr>
    </w:p>
    <w:sectPr w:rsidR="0093223A" w:rsidSect="004D1BB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3A7"/>
    <w:multiLevelType w:val="multilevel"/>
    <w:tmpl w:val="BCA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54C86"/>
    <w:multiLevelType w:val="multilevel"/>
    <w:tmpl w:val="D360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056C5"/>
    <w:multiLevelType w:val="multilevel"/>
    <w:tmpl w:val="2F4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24F43"/>
    <w:multiLevelType w:val="multilevel"/>
    <w:tmpl w:val="13D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93BBC"/>
    <w:multiLevelType w:val="multilevel"/>
    <w:tmpl w:val="C86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3D1D74"/>
    <w:rsid w:val="000006BD"/>
    <w:rsid w:val="00003706"/>
    <w:rsid w:val="00016467"/>
    <w:rsid w:val="00051A69"/>
    <w:rsid w:val="00063A83"/>
    <w:rsid w:val="00085B50"/>
    <w:rsid w:val="000E4DBB"/>
    <w:rsid w:val="00156B87"/>
    <w:rsid w:val="0019212F"/>
    <w:rsid w:val="001A5393"/>
    <w:rsid w:val="001A66FC"/>
    <w:rsid w:val="001D286A"/>
    <w:rsid w:val="001E1074"/>
    <w:rsid w:val="001E48CA"/>
    <w:rsid w:val="002803D0"/>
    <w:rsid w:val="00285E47"/>
    <w:rsid w:val="002A53DD"/>
    <w:rsid w:val="002D44DB"/>
    <w:rsid w:val="002F6286"/>
    <w:rsid w:val="003709AB"/>
    <w:rsid w:val="003D0494"/>
    <w:rsid w:val="003D1D74"/>
    <w:rsid w:val="003E4912"/>
    <w:rsid w:val="00403FF5"/>
    <w:rsid w:val="004167ED"/>
    <w:rsid w:val="00434633"/>
    <w:rsid w:val="0046370D"/>
    <w:rsid w:val="00471795"/>
    <w:rsid w:val="004A234D"/>
    <w:rsid w:val="004B71E5"/>
    <w:rsid w:val="004D1BBC"/>
    <w:rsid w:val="004F1324"/>
    <w:rsid w:val="0051316F"/>
    <w:rsid w:val="0052729E"/>
    <w:rsid w:val="005D71F1"/>
    <w:rsid w:val="00604553"/>
    <w:rsid w:val="00627AFA"/>
    <w:rsid w:val="00630FB4"/>
    <w:rsid w:val="00632ADC"/>
    <w:rsid w:val="00634DA8"/>
    <w:rsid w:val="00664A00"/>
    <w:rsid w:val="006E2541"/>
    <w:rsid w:val="00701B59"/>
    <w:rsid w:val="00746771"/>
    <w:rsid w:val="00760E9B"/>
    <w:rsid w:val="0076282B"/>
    <w:rsid w:val="00782953"/>
    <w:rsid w:val="007C1C0D"/>
    <w:rsid w:val="008172A8"/>
    <w:rsid w:val="008411DC"/>
    <w:rsid w:val="00850B17"/>
    <w:rsid w:val="008708C5"/>
    <w:rsid w:val="00895686"/>
    <w:rsid w:val="008C35EF"/>
    <w:rsid w:val="008E33F0"/>
    <w:rsid w:val="00900778"/>
    <w:rsid w:val="00913FA9"/>
    <w:rsid w:val="009257E4"/>
    <w:rsid w:val="0093223A"/>
    <w:rsid w:val="009414F6"/>
    <w:rsid w:val="00954EEA"/>
    <w:rsid w:val="00956953"/>
    <w:rsid w:val="00967F2F"/>
    <w:rsid w:val="009D79ED"/>
    <w:rsid w:val="00AB5734"/>
    <w:rsid w:val="00AD01A6"/>
    <w:rsid w:val="00AE105C"/>
    <w:rsid w:val="00B066EF"/>
    <w:rsid w:val="00B3624E"/>
    <w:rsid w:val="00B4085E"/>
    <w:rsid w:val="00B54AF5"/>
    <w:rsid w:val="00B560A7"/>
    <w:rsid w:val="00B707DE"/>
    <w:rsid w:val="00BA4F09"/>
    <w:rsid w:val="00BC1933"/>
    <w:rsid w:val="00C27356"/>
    <w:rsid w:val="00C3139B"/>
    <w:rsid w:val="00C32E6C"/>
    <w:rsid w:val="00C80EF6"/>
    <w:rsid w:val="00C86FA7"/>
    <w:rsid w:val="00C96796"/>
    <w:rsid w:val="00CB643D"/>
    <w:rsid w:val="00D23161"/>
    <w:rsid w:val="00D24FC8"/>
    <w:rsid w:val="00D33A3A"/>
    <w:rsid w:val="00D53B0B"/>
    <w:rsid w:val="00D72FDF"/>
    <w:rsid w:val="00D84DBF"/>
    <w:rsid w:val="00D91E74"/>
    <w:rsid w:val="00DB7667"/>
    <w:rsid w:val="00DE78E3"/>
    <w:rsid w:val="00DF4E06"/>
    <w:rsid w:val="00E00E4D"/>
    <w:rsid w:val="00E256CB"/>
    <w:rsid w:val="00E40A35"/>
    <w:rsid w:val="00E8502C"/>
    <w:rsid w:val="00ED6689"/>
    <w:rsid w:val="00F07A60"/>
    <w:rsid w:val="00F226CB"/>
    <w:rsid w:val="00F41CEF"/>
    <w:rsid w:val="00F43C6A"/>
    <w:rsid w:val="00F610CD"/>
    <w:rsid w:val="00F82166"/>
    <w:rsid w:val="00F91B47"/>
    <w:rsid w:val="00F92465"/>
    <w:rsid w:val="00FD2B2F"/>
    <w:rsid w:val="00FF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74"/>
    <w:rPr>
      <w:sz w:val="24"/>
      <w:szCs w:val="24"/>
    </w:rPr>
  </w:style>
  <w:style w:type="paragraph" w:styleId="Heading1">
    <w:name w:val="heading 1"/>
    <w:basedOn w:val="Normal"/>
    <w:qFormat/>
    <w:rsid w:val="003D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D74"/>
    <w:pPr>
      <w:spacing w:before="100" w:beforeAutospacing="1" w:after="100" w:afterAutospacing="1"/>
    </w:pPr>
  </w:style>
  <w:style w:type="character" w:styleId="Emphasis">
    <w:name w:val="Emphasis"/>
    <w:basedOn w:val="DefaultParagraphFont"/>
    <w:qFormat/>
    <w:rsid w:val="003D1D74"/>
    <w:rPr>
      <w:i/>
      <w:iCs/>
    </w:rPr>
  </w:style>
  <w:style w:type="character" w:styleId="Hyperlink">
    <w:name w:val="Hyperlink"/>
    <w:basedOn w:val="DefaultParagraphFont"/>
    <w:rsid w:val="003D1D74"/>
    <w:rPr>
      <w:color w:val="0000FF"/>
      <w:u w:val="single"/>
    </w:rPr>
  </w:style>
  <w:style w:type="paragraph" w:styleId="BalloonText">
    <w:name w:val="Balloon Text"/>
    <w:basedOn w:val="Normal"/>
    <w:link w:val="BalloonTextChar"/>
    <w:rsid w:val="00632ADC"/>
    <w:rPr>
      <w:rFonts w:ascii="Tahoma" w:hAnsi="Tahoma" w:cs="Tahoma"/>
      <w:sz w:val="16"/>
      <w:szCs w:val="16"/>
    </w:rPr>
  </w:style>
  <w:style w:type="character" w:customStyle="1" w:styleId="BalloonTextChar">
    <w:name w:val="Balloon Text Char"/>
    <w:basedOn w:val="DefaultParagraphFont"/>
    <w:link w:val="BalloonText"/>
    <w:rsid w:val="00632ADC"/>
    <w:rPr>
      <w:rFonts w:ascii="Tahoma" w:hAnsi="Tahoma" w:cs="Tahoma"/>
      <w:sz w:val="16"/>
      <w:szCs w:val="16"/>
    </w:rPr>
  </w:style>
  <w:style w:type="table" w:styleId="TableGrid">
    <w:name w:val="Table Grid"/>
    <w:basedOn w:val="TableNormal"/>
    <w:rsid w:val="0093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172A8"/>
    <w:rPr>
      <w:sz w:val="16"/>
      <w:szCs w:val="16"/>
    </w:rPr>
  </w:style>
  <w:style w:type="paragraph" w:styleId="CommentText">
    <w:name w:val="annotation text"/>
    <w:basedOn w:val="Normal"/>
    <w:link w:val="CommentTextChar"/>
    <w:rsid w:val="008172A8"/>
    <w:rPr>
      <w:sz w:val="20"/>
      <w:szCs w:val="20"/>
    </w:rPr>
  </w:style>
  <w:style w:type="character" w:customStyle="1" w:styleId="CommentTextChar">
    <w:name w:val="Comment Text Char"/>
    <w:basedOn w:val="DefaultParagraphFont"/>
    <w:link w:val="CommentText"/>
    <w:rsid w:val="008172A8"/>
  </w:style>
  <w:style w:type="paragraph" w:styleId="CommentSubject">
    <w:name w:val="annotation subject"/>
    <w:basedOn w:val="CommentText"/>
    <w:next w:val="CommentText"/>
    <w:link w:val="CommentSubjectChar"/>
    <w:rsid w:val="008172A8"/>
    <w:rPr>
      <w:b/>
      <w:bCs/>
    </w:rPr>
  </w:style>
  <w:style w:type="character" w:customStyle="1" w:styleId="CommentSubjectChar">
    <w:name w:val="Comment Subject Char"/>
    <w:basedOn w:val="CommentTextChar"/>
    <w:link w:val="CommentSubject"/>
    <w:rsid w:val="00817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74"/>
    <w:rPr>
      <w:sz w:val="24"/>
      <w:szCs w:val="24"/>
    </w:rPr>
  </w:style>
  <w:style w:type="paragraph" w:styleId="Heading1">
    <w:name w:val="heading 1"/>
    <w:basedOn w:val="Normal"/>
    <w:qFormat/>
    <w:rsid w:val="003D1D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D74"/>
    <w:pPr>
      <w:spacing w:before="100" w:beforeAutospacing="1" w:after="100" w:afterAutospacing="1"/>
    </w:pPr>
  </w:style>
  <w:style w:type="character" w:styleId="Emphasis">
    <w:name w:val="Emphasis"/>
    <w:basedOn w:val="DefaultParagraphFont"/>
    <w:qFormat/>
    <w:rsid w:val="003D1D74"/>
    <w:rPr>
      <w:i/>
      <w:iCs/>
    </w:rPr>
  </w:style>
  <w:style w:type="character" w:styleId="Hyperlink">
    <w:name w:val="Hyperlink"/>
    <w:basedOn w:val="DefaultParagraphFont"/>
    <w:rsid w:val="003D1D74"/>
    <w:rPr>
      <w:color w:val="0000FF"/>
      <w:u w:val="single"/>
    </w:rPr>
  </w:style>
  <w:style w:type="paragraph" w:styleId="BalloonText">
    <w:name w:val="Balloon Text"/>
    <w:basedOn w:val="Normal"/>
    <w:link w:val="BalloonTextChar"/>
    <w:rsid w:val="00632ADC"/>
    <w:rPr>
      <w:rFonts w:ascii="Tahoma" w:hAnsi="Tahoma" w:cs="Tahoma"/>
      <w:sz w:val="16"/>
      <w:szCs w:val="16"/>
    </w:rPr>
  </w:style>
  <w:style w:type="character" w:customStyle="1" w:styleId="BalloonTextChar">
    <w:name w:val="Balloon Text Char"/>
    <w:basedOn w:val="DefaultParagraphFont"/>
    <w:link w:val="BalloonText"/>
    <w:rsid w:val="00632ADC"/>
    <w:rPr>
      <w:rFonts w:ascii="Tahoma" w:hAnsi="Tahoma" w:cs="Tahoma"/>
      <w:sz w:val="16"/>
      <w:szCs w:val="16"/>
    </w:rPr>
  </w:style>
  <w:style w:type="table" w:styleId="TableGrid">
    <w:name w:val="Table Grid"/>
    <w:basedOn w:val="TableNormal"/>
    <w:rsid w:val="00932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172A8"/>
    <w:rPr>
      <w:sz w:val="16"/>
      <w:szCs w:val="16"/>
    </w:rPr>
  </w:style>
  <w:style w:type="paragraph" w:styleId="CommentText">
    <w:name w:val="annotation text"/>
    <w:basedOn w:val="Normal"/>
    <w:link w:val="CommentTextChar"/>
    <w:rsid w:val="008172A8"/>
    <w:rPr>
      <w:sz w:val="20"/>
      <w:szCs w:val="20"/>
    </w:rPr>
  </w:style>
  <w:style w:type="character" w:customStyle="1" w:styleId="CommentTextChar">
    <w:name w:val="Comment Text Char"/>
    <w:basedOn w:val="DefaultParagraphFont"/>
    <w:link w:val="CommentText"/>
    <w:rsid w:val="008172A8"/>
  </w:style>
  <w:style w:type="paragraph" w:styleId="CommentSubject">
    <w:name w:val="annotation subject"/>
    <w:basedOn w:val="CommentText"/>
    <w:next w:val="CommentText"/>
    <w:link w:val="CommentSubjectChar"/>
    <w:rsid w:val="008172A8"/>
    <w:rPr>
      <w:b/>
      <w:bCs/>
    </w:rPr>
  </w:style>
  <w:style w:type="character" w:customStyle="1" w:styleId="CommentSubjectChar">
    <w:name w:val="Comment Subject Char"/>
    <w:basedOn w:val="CommentTextChar"/>
    <w:link w:val="CommentSubject"/>
    <w:rsid w:val="008172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Seeds.com" TargetMode="External"/><Relationship Id="rId3" Type="http://schemas.openxmlformats.org/officeDocument/2006/relationships/styles" Target="styles.xml"/><Relationship Id="rId7" Type="http://schemas.openxmlformats.org/officeDocument/2006/relationships/hyperlink" Target="http://alfalfa.ucdavis.edu/+symposium/2011/files/talks/11WAS-10_Marsalis_SorghumSila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22751-27BC-4F93-B0D8-6BE615AC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ABI Alfalfa, Inc.</Company>
  <LinksUpToDate>false</LinksUpToDate>
  <CharactersWithSpaces>4853</CharactersWithSpaces>
  <SharedDoc>false</SharedDoc>
  <HLinks>
    <vt:vector size="6" baseType="variant">
      <vt:variant>
        <vt:i4>5570589</vt:i4>
      </vt:variant>
      <vt:variant>
        <vt:i4>0</vt:i4>
      </vt:variant>
      <vt:variant>
        <vt:i4>0</vt:i4>
      </vt:variant>
      <vt:variant>
        <vt:i4>5</vt:i4>
      </vt:variant>
      <vt:variant>
        <vt:lpwstr>http://www.altaseeds.com/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Jerry Duff</dc:creator>
  <cp:lastModifiedBy>Adam Buckallew</cp:lastModifiedBy>
  <cp:revision>7</cp:revision>
  <cp:lastPrinted>2012-09-11T14:32:00Z</cp:lastPrinted>
  <dcterms:created xsi:type="dcterms:W3CDTF">2012-09-12T17:47:00Z</dcterms:created>
  <dcterms:modified xsi:type="dcterms:W3CDTF">2012-09-27T14:20:00Z</dcterms:modified>
</cp:coreProperties>
</file>